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5"/>
        <w:gridCol w:w="1499"/>
        <w:gridCol w:w="203"/>
        <w:gridCol w:w="3596"/>
        <w:gridCol w:w="233"/>
      </w:tblGrid>
      <w:tr w:rsidR="009A5E48" w:rsidTr="009A5E48">
        <w:tc>
          <w:tcPr>
            <w:tcW w:w="4114" w:type="dxa"/>
            <w:gridSpan w:val="2"/>
          </w:tcPr>
          <w:p w:rsidR="009A5E48" w:rsidRPr="009A5E48" w:rsidRDefault="009A5E48">
            <w:pPr>
              <w:pStyle w:val="a6"/>
              <w:spacing w:line="276" w:lineRule="auto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  <w:bookmarkStart w:id="0" w:name="bookmark2"/>
          </w:p>
        </w:tc>
        <w:tc>
          <w:tcPr>
            <w:tcW w:w="1702" w:type="dxa"/>
            <w:gridSpan w:val="2"/>
            <w:vAlign w:val="center"/>
          </w:tcPr>
          <w:p w:rsidR="009A5E48" w:rsidRPr="009A5E48" w:rsidRDefault="009A5E48">
            <w:pPr>
              <w:pStyle w:val="a6"/>
              <w:spacing w:line="276" w:lineRule="auto"/>
              <w:ind w:hanging="108"/>
              <w:jc w:val="center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gridSpan w:val="2"/>
          </w:tcPr>
          <w:p w:rsidR="009A5E48" w:rsidRPr="009A5E48" w:rsidRDefault="009A5E48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  <w:lang w:eastAsia="en-US"/>
              </w:rPr>
            </w:pPr>
          </w:p>
        </w:tc>
      </w:tr>
      <w:tr w:rsidR="009A5E48" w:rsidRPr="00A76541" w:rsidTr="009A5E48">
        <w:tblPrEx>
          <w:tblLook w:val="0000" w:firstRow="0" w:lastRow="0" w:firstColumn="0" w:lastColumn="0" w:noHBand="0" w:noVBand="0"/>
        </w:tblPrEx>
        <w:trPr>
          <w:gridAfter w:val="1"/>
          <w:wAfter w:w="233" w:type="dxa"/>
        </w:trPr>
        <w:tc>
          <w:tcPr>
            <w:tcW w:w="3969" w:type="dxa"/>
          </w:tcPr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A5E48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9A5E48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A5E48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9A5E48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9A5E48" w:rsidRPr="006D7A0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8"/>
              </w:rPr>
            </w:pPr>
          </w:p>
          <w:p w:rsidR="009A5E48" w:rsidRPr="006D7A08" w:rsidRDefault="009A5E48" w:rsidP="00C0618C">
            <w:pPr>
              <w:pStyle w:val="a6"/>
              <w:rPr>
                <w:rFonts w:ascii="Baskerville Old Face" w:hAnsi="Baskerville Old Face"/>
                <w:sz w:val="16"/>
              </w:rPr>
            </w:pPr>
            <w:r w:rsidRPr="006D7A08">
              <w:rPr>
                <w:rFonts w:ascii="Baskerville Old Face" w:hAnsi="Baskerville Old Face"/>
                <w:sz w:val="16"/>
              </w:rPr>
              <w:t xml:space="preserve">453477, </w:t>
            </w:r>
            <w:r w:rsidRPr="006D7A08">
              <w:rPr>
                <w:sz w:val="16"/>
              </w:rPr>
              <w:t>Ауыр</w:t>
            </w:r>
            <w:r w:rsidRPr="006D7A08">
              <w:rPr>
                <w:sz w:val="16"/>
                <w:lang w:val="ba-RU"/>
              </w:rPr>
              <w:t>ғ</w:t>
            </w:r>
            <w:r w:rsidRPr="006D7A08">
              <w:rPr>
                <w:sz w:val="16"/>
              </w:rPr>
              <w:t>азы</w:t>
            </w:r>
            <w:r w:rsidRPr="006D7A08">
              <w:rPr>
                <w:rFonts w:ascii="Baskerville Old Face" w:hAnsi="Baskerville Old Face"/>
                <w:sz w:val="16"/>
              </w:rPr>
              <w:t xml:space="preserve"> </w:t>
            </w:r>
            <w:r w:rsidRPr="006D7A08">
              <w:rPr>
                <w:sz w:val="16"/>
              </w:rPr>
              <w:t>районы</w:t>
            </w:r>
            <w:r w:rsidRPr="006D7A08">
              <w:rPr>
                <w:rFonts w:ascii="Baskerville Old Face" w:hAnsi="Baskerville Old Face"/>
                <w:sz w:val="16"/>
              </w:rPr>
              <w:t xml:space="preserve">, </w:t>
            </w:r>
            <w:r w:rsidRPr="006D7A08">
              <w:rPr>
                <w:sz w:val="16"/>
              </w:rPr>
              <w:t>И</w:t>
            </w:r>
            <w:proofErr w:type="gramStart"/>
            <w:r w:rsidRPr="006D7A08">
              <w:rPr>
                <w:rFonts w:ascii="Baskerville Old Face" w:hAnsi="Baskerville Old Face"/>
                <w:sz w:val="16"/>
                <w:lang w:val="en-US"/>
              </w:rPr>
              <w:t>c</w:t>
            </w:r>
            <w:proofErr w:type="spellStart"/>
            <w:proofErr w:type="gramEnd"/>
            <w:r w:rsidRPr="006D7A08">
              <w:rPr>
                <w:sz w:val="16"/>
              </w:rPr>
              <w:t>ке</w:t>
            </w:r>
            <w:proofErr w:type="spellEnd"/>
            <w:r w:rsidRPr="006D7A08">
              <w:rPr>
                <w:rFonts w:ascii="Baskerville Old Face" w:hAnsi="Baskerville Old Face"/>
                <w:sz w:val="16"/>
              </w:rPr>
              <w:t xml:space="preserve"> </w:t>
            </w:r>
            <w:r w:rsidRPr="006D7A08">
              <w:rPr>
                <w:sz w:val="16"/>
                <w:lang w:val="ba-RU"/>
              </w:rPr>
              <w:t>Ә</w:t>
            </w:r>
            <w:r w:rsidRPr="006D7A08">
              <w:rPr>
                <w:sz w:val="16"/>
              </w:rPr>
              <w:t>пс</w:t>
            </w:r>
            <w:r w:rsidRPr="006D7A08">
              <w:rPr>
                <w:sz w:val="16"/>
                <w:lang w:val="ba-RU"/>
              </w:rPr>
              <w:t>ә</w:t>
            </w:r>
            <w:r w:rsidRPr="006D7A08">
              <w:rPr>
                <w:sz w:val="16"/>
              </w:rPr>
              <w:t>л</w:t>
            </w:r>
            <w:r w:rsidRPr="006D7A08">
              <w:rPr>
                <w:sz w:val="16"/>
                <w:lang w:val="ba-RU"/>
              </w:rPr>
              <w:t>ә</w:t>
            </w:r>
            <w:r w:rsidRPr="006D7A08">
              <w:rPr>
                <w:sz w:val="16"/>
              </w:rPr>
              <w:t>м</w:t>
            </w:r>
            <w:r w:rsidRPr="006D7A08">
              <w:rPr>
                <w:rFonts w:ascii="Baskerville Old Face" w:hAnsi="Baskerville Old Face"/>
                <w:sz w:val="16"/>
              </w:rPr>
              <w:t xml:space="preserve"> </w:t>
            </w:r>
            <w:r w:rsidRPr="006D7A08">
              <w:rPr>
                <w:sz w:val="16"/>
              </w:rPr>
              <w:t>ауылы</w:t>
            </w:r>
            <w:r w:rsidRPr="006D7A08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gridSpan w:val="2"/>
            <w:vAlign w:val="center"/>
          </w:tcPr>
          <w:p w:rsidR="009A5E48" w:rsidRPr="009A5E48" w:rsidRDefault="009A5E48" w:rsidP="00C0618C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042035" cy="1062990"/>
                  <wp:effectExtent l="0" t="0" r="571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62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gridSpan w:val="2"/>
          </w:tcPr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9A5E48" w:rsidRPr="009A5E4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9A5E48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A5E48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9A5E48" w:rsidRPr="006D7A08" w:rsidRDefault="009A5E48" w:rsidP="00C0618C">
            <w:pPr>
              <w:pStyle w:val="a6"/>
              <w:jc w:val="center"/>
              <w:rPr>
                <w:rFonts w:ascii="Baskerville Old Face" w:hAnsi="Baskerville Old Face"/>
                <w:sz w:val="28"/>
              </w:rPr>
            </w:pPr>
          </w:p>
          <w:p w:rsidR="009A5E48" w:rsidRPr="00A76541" w:rsidRDefault="009A5E48" w:rsidP="00C0618C">
            <w:pPr>
              <w:pStyle w:val="a6"/>
              <w:jc w:val="center"/>
              <w:rPr>
                <w:rFonts w:ascii="Calibri" w:hAnsi="Calibri"/>
                <w:sz w:val="16"/>
              </w:rPr>
            </w:pPr>
            <w:r w:rsidRPr="006D7A08">
              <w:rPr>
                <w:rFonts w:ascii="Baskerville Old Face" w:hAnsi="Baskerville Old Face"/>
                <w:sz w:val="16"/>
              </w:rPr>
              <w:t xml:space="preserve">453477, </w:t>
            </w:r>
            <w:r w:rsidRPr="006D7A08">
              <w:rPr>
                <w:sz w:val="16"/>
              </w:rPr>
              <w:t>Аургазинский</w:t>
            </w:r>
            <w:r w:rsidRPr="006D7A08">
              <w:rPr>
                <w:rFonts w:ascii="Baskerville Old Face" w:hAnsi="Baskerville Old Face"/>
                <w:sz w:val="16"/>
              </w:rPr>
              <w:t xml:space="preserve"> </w:t>
            </w:r>
            <w:r w:rsidRPr="006D7A08">
              <w:rPr>
                <w:sz w:val="16"/>
              </w:rPr>
              <w:t>район</w:t>
            </w:r>
            <w:r w:rsidRPr="006D7A08">
              <w:rPr>
                <w:rFonts w:ascii="Baskerville Old Face" w:hAnsi="Baskerville Old Face"/>
                <w:sz w:val="16"/>
              </w:rPr>
              <w:t xml:space="preserve">, </w:t>
            </w:r>
            <w:r w:rsidRPr="006D7A08">
              <w:rPr>
                <w:sz w:val="16"/>
              </w:rPr>
              <w:t>с</w:t>
            </w:r>
            <w:r w:rsidRPr="006D7A08">
              <w:rPr>
                <w:rFonts w:ascii="Baskerville Old Face" w:hAnsi="Baskerville Old Face"/>
                <w:sz w:val="16"/>
              </w:rPr>
              <w:t>.</w:t>
            </w:r>
            <w:r w:rsidRPr="006D7A08">
              <w:rPr>
                <w:sz w:val="16"/>
              </w:rPr>
              <w:t>Староабсалямово</w:t>
            </w:r>
            <w:r w:rsidRPr="006D7A08">
              <w:rPr>
                <w:rFonts w:ascii="Baskerville Old Face" w:hAnsi="Baskerville Old Face"/>
                <w:sz w:val="16"/>
              </w:rPr>
              <w:t xml:space="preserve">. </w:t>
            </w:r>
            <w:r w:rsidRPr="006D7A08">
              <w:rPr>
                <w:sz w:val="16"/>
              </w:rPr>
              <w:t>Тел</w:t>
            </w:r>
            <w:r w:rsidRPr="006D7A08">
              <w:rPr>
                <w:rFonts w:ascii="Baskerville Old Face" w:hAnsi="Baskerville Old Face"/>
                <w:sz w:val="16"/>
              </w:rPr>
              <w:t>. 2-71-31</w:t>
            </w:r>
          </w:p>
        </w:tc>
      </w:tr>
      <w:tr w:rsidR="009A5E48" w:rsidTr="009A5E48">
        <w:tblPrEx>
          <w:tblLook w:val="0000" w:firstRow="0" w:lastRow="0" w:firstColumn="0" w:lastColumn="0" w:noHBand="0" w:noVBand="0"/>
        </w:tblPrEx>
        <w:trPr>
          <w:gridAfter w:val="1"/>
          <w:wAfter w:w="233" w:type="dxa"/>
        </w:trPr>
        <w:tc>
          <w:tcPr>
            <w:tcW w:w="3969" w:type="dxa"/>
          </w:tcPr>
          <w:p w:rsidR="009A5E48" w:rsidRPr="002B33A6" w:rsidRDefault="009A5E48" w:rsidP="00C0618C">
            <w:pPr>
              <w:pStyle w:val="a6"/>
              <w:jc w:val="both"/>
              <w:rPr>
                <w:rFonts w:ascii="Century" w:hAnsi="Century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9A5E48" w:rsidRPr="009A5E48" w:rsidRDefault="009A5E48" w:rsidP="00C0618C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99" w:type="dxa"/>
            <w:gridSpan w:val="2"/>
          </w:tcPr>
          <w:p w:rsidR="009A5E48" w:rsidRPr="002B33A6" w:rsidRDefault="009A5E48" w:rsidP="00C0618C">
            <w:pPr>
              <w:pStyle w:val="a6"/>
              <w:jc w:val="center"/>
              <w:rPr>
                <w:rFonts w:ascii="Century" w:hAnsi="Century"/>
              </w:rPr>
            </w:pPr>
          </w:p>
        </w:tc>
      </w:tr>
    </w:tbl>
    <w:p w:rsidR="009A5E48" w:rsidRDefault="009A5E48" w:rsidP="009A5E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1905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px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hrx6cc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9A5E48" w:rsidRDefault="009A5E48" w:rsidP="009A5E48">
      <w:pPr>
        <w:pStyle w:val="a6"/>
        <w:rPr>
          <w:b/>
          <w:sz w:val="28"/>
        </w:rPr>
      </w:pPr>
    </w:p>
    <w:p w:rsidR="009A5E48" w:rsidRDefault="009A5E48" w:rsidP="009A5E48">
      <w:pPr>
        <w:pStyle w:val="a5"/>
        <w:tabs>
          <w:tab w:val="left" w:pos="142"/>
          <w:tab w:val="left" w:pos="540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4AB5" w:rsidRPr="00772C64" w:rsidRDefault="00504AB5" w:rsidP="009A5E48">
      <w:pPr>
        <w:pStyle w:val="a5"/>
        <w:tabs>
          <w:tab w:val="left" w:pos="142"/>
          <w:tab w:val="left" w:pos="54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ПОСТАНОВЛЕНИЕ</w:t>
      </w: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«</w:t>
      </w:r>
      <w:r w:rsidR="009A5E48">
        <w:rPr>
          <w:b/>
          <w:sz w:val="28"/>
          <w:szCs w:val="28"/>
        </w:rPr>
        <w:t>26</w:t>
      </w:r>
      <w:r w:rsidRPr="00772C64">
        <w:rPr>
          <w:b/>
          <w:sz w:val="28"/>
          <w:szCs w:val="28"/>
        </w:rPr>
        <w:t>»</w:t>
      </w:r>
      <w:r w:rsidR="009A5E48">
        <w:rPr>
          <w:b/>
          <w:sz w:val="28"/>
          <w:szCs w:val="28"/>
        </w:rPr>
        <w:t xml:space="preserve"> декабря </w:t>
      </w:r>
      <w:r w:rsidRPr="00772C64">
        <w:rPr>
          <w:b/>
          <w:sz w:val="28"/>
          <w:szCs w:val="28"/>
        </w:rPr>
        <w:t>2016 г.                                                                                  №</w:t>
      </w:r>
      <w:r w:rsidR="009A5E48">
        <w:rPr>
          <w:b/>
          <w:sz w:val="28"/>
          <w:szCs w:val="28"/>
        </w:rPr>
        <w:t xml:space="preserve"> 35</w:t>
      </w: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504AB5" w:rsidRPr="00772C64" w:rsidRDefault="00504AB5" w:rsidP="00504AB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 xml:space="preserve">О порядке взаимодействия при осуществлении контроля </w:t>
      </w:r>
    </w:p>
    <w:p w:rsidR="00504AB5" w:rsidRPr="00772C64" w:rsidRDefault="00504AB5" w:rsidP="00504AB5">
      <w:pPr>
        <w:pStyle w:val="a5"/>
        <w:spacing w:before="0" w:beforeAutospacing="0"/>
        <w:jc w:val="center"/>
        <w:rPr>
          <w:b/>
          <w:sz w:val="28"/>
          <w:szCs w:val="28"/>
        </w:rPr>
      </w:pPr>
      <w:proofErr w:type="gramStart"/>
      <w:r w:rsidRPr="00772C64">
        <w:rPr>
          <w:b/>
          <w:sz w:val="28"/>
          <w:szCs w:val="28"/>
        </w:rPr>
        <w:t>сельского поселения Уршакский сельсовет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504AB5" w:rsidRPr="00772C64" w:rsidRDefault="00504AB5" w:rsidP="00504A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772C64">
        <w:rPr>
          <w:rFonts w:ascii="Times New Roman" w:hAnsi="Times New Roman" w:cs="Times New Roman"/>
          <w:b w:val="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утвержденных постановлением Правительства Российской Федерации от 12 декабря 2015 года № 1367, руководствуясь Положением </w:t>
      </w:r>
      <w:r w:rsidRPr="00772C64">
        <w:rPr>
          <w:rFonts w:ascii="Times New Roman" w:hAnsi="Times New Roman" w:cs="Times New Roman"/>
          <w:b w:val="0"/>
          <w:sz w:val="28"/>
        </w:rPr>
        <w:t>об администрации сельского поселения Уршакский сельсовет муниципального района</w:t>
      </w: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Аургазинский район Республики Башкортостан от 07.08.2009 г. ПОСТАНОВЛЯЮ: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     1. Утвердить прилагаемый Порядок взаимодействия при осуществлении контроля сельского поселения Уршакский сельсовет муниципального района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</w:t>
      </w:r>
      <w:r w:rsidRPr="00772C64"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</w:p>
    <w:p w:rsidR="00504AB5" w:rsidRPr="00772C64" w:rsidRDefault="00504AB5" w:rsidP="00504AB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    2. Настоящее Постановление вступает в силу в установленном законодательством </w:t>
      </w:r>
      <w:proofErr w:type="gramStart"/>
      <w:r w:rsidRPr="00772C64">
        <w:rPr>
          <w:sz w:val="28"/>
          <w:szCs w:val="28"/>
        </w:rPr>
        <w:t>порядке</w:t>
      </w:r>
      <w:proofErr w:type="gramEnd"/>
      <w:r w:rsidRPr="00772C64">
        <w:rPr>
          <w:sz w:val="28"/>
          <w:szCs w:val="28"/>
        </w:rPr>
        <w:t xml:space="preserve">, но не ранее 1 января 2017 года, и распространяет свое действие на правоотношения, связанные  с размещением планов закупок </w:t>
      </w:r>
    </w:p>
    <w:p w:rsidR="00504AB5" w:rsidRPr="00772C64" w:rsidRDefault="00504AB5" w:rsidP="00504AB5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на 2017 год и плановый период 2018 и 2019 годов и планов-графиков закупок на 2017 год.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    3.  </w:t>
      </w:r>
      <w:proofErr w:type="gramStart"/>
      <w:r w:rsidRPr="00772C64">
        <w:rPr>
          <w:sz w:val="28"/>
          <w:szCs w:val="28"/>
        </w:rPr>
        <w:t>Контроль за</w:t>
      </w:r>
      <w:proofErr w:type="gramEnd"/>
      <w:r w:rsidRPr="00772C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5E48" w:rsidRDefault="009A5E48" w:rsidP="00504A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4AB5" w:rsidRPr="00772C64" w:rsidRDefault="00504AB5" w:rsidP="00504AB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2C64">
        <w:rPr>
          <w:sz w:val="28"/>
          <w:szCs w:val="28"/>
        </w:rPr>
        <w:t xml:space="preserve">Глава </w:t>
      </w:r>
      <w:r w:rsidR="00772C64">
        <w:rPr>
          <w:sz w:val="28"/>
          <w:szCs w:val="28"/>
        </w:rPr>
        <w:t>с</w:t>
      </w:r>
      <w:r w:rsidRPr="00772C64">
        <w:rPr>
          <w:sz w:val="28"/>
          <w:szCs w:val="28"/>
        </w:rPr>
        <w:t>ельского поселения</w:t>
      </w:r>
      <w:r w:rsidRPr="00772C64">
        <w:rPr>
          <w:sz w:val="28"/>
          <w:szCs w:val="28"/>
        </w:rPr>
        <w:tab/>
        <w:t xml:space="preserve"> </w:t>
      </w:r>
      <w:r w:rsidR="00772C64">
        <w:rPr>
          <w:sz w:val="28"/>
          <w:szCs w:val="28"/>
        </w:rPr>
        <w:t xml:space="preserve">                 </w:t>
      </w:r>
      <w:r w:rsidRPr="00772C64">
        <w:rPr>
          <w:sz w:val="28"/>
          <w:szCs w:val="28"/>
        </w:rPr>
        <w:t xml:space="preserve">                       </w:t>
      </w:r>
      <w:r w:rsidRPr="00772C64">
        <w:rPr>
          <w:sz w:val="28"/>
          <w:szCs w:val="28"/>
        </w:rPr>
        <w:tab/>
      </w:r>
      <w:bookmarkEnd w:id="0"/>
      <w:r w:rsidRPr="00772C64">
        <w:rPr>
          <w:sz w:val="28"/>
          <w:szCs w:val="28"/>
        </w:rPr>
        <w:t>Р.И. Абдрахманов</w:t>
      </w: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A5E48" w:rsidRDefault="009A5E48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>Утвержден</w:t>
      </w:r>
    </w:p>
    <w:p w:rsidR="00ED2EE0" w:rsidRPr="00772C64" w:rsidRDefault="00412916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 xml:space="preserve">Постановлением </w:t>
      </w:r>
      <w:r w:rsidR="009127DB" w:rsidRPr="00772C64">
        <w:rPr>
          <w:rFonts w:ascii="Times New Roman" w:hAnsi="Times New Roman" w:cs="Times New Roman"/>
          <w:szCs w:val="22"/>
        </w:rPr>
        <w:t xml:space="preserve"> </w:t>
      </w:r>
      <w:r w:rsidR="00675264" w:rsidRPr="00772C64">
        <w:rPr>
          <w:rFonts w:ascii="Times New Roman" w:hAnsi="Times New Roman" w:cs="Times New Roman"/>
          <w:szCs w:val="22"/>
        </w:rPr>
        <w:t>главы сельского поселения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 xml:space="preserve"> МР </w:t>
      </w:r>
      <w:r w:rsidR="00187FB7" w:rsidRPr="00772C64">
        <w:rPr>
          <w:rFonts w:ascii="Times New Roman" w:hAnsi="Times New Roman" w:cs="Times New Roman"/>
          <w:szCs w:val="22"/>
        </w:rPr>
        <w:t>Аургазинский</w:t>
      </w:r>
      <w:r w:rsidRPr="00772C64">
        <w:rPr>
          <w:rFonts w:ascii="Times New Roman" w:hAnsi="Times New Roman" w:cs="Times New Roman"/>
          <w:szCs w:val="22"/>
        </w:rPr>
        <w:t xml:space="preserve"> район</w:t>
      </w:r>
      <w:r w:rsidR="00675264" w:rsidRPr="00772C64">
        <w:rPr>
          <w:rFonts w:ascii="Times New Roman" w:hAnsi="Times New Roman" w:cs="Times New Roman"/>
          <w:szCs w:val="22"/>
        </w:rPr>
        <w:t xml:space="preserve"> РБ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>Республики Башкортостан</w:t>
      </w:r>
    </w:p>
    <w:p w:rsidR="009127DB" w:rsidRPr="00772C64" w:rsidRDefault="009127DB" w:rsidP="009127DB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772C64">
        <w:rPr>
          <w:rFonts w:ascii="Times New Roman" w:hAnsi="Times New Roman" w:cs="Times New Roman"/>
          <w:szCs w:val="22"/>
        </w:rPr>
        <w:t>от  «</w:t>
      </w:r>
      <w:r w:rsidR="009A5E48">
        <w:rPr>
          <w:rFonts w:ascii="Times New Roman" w:hAnsi="Times New Roman" w:cs="Times New Roman"/>
          <w:szCs w:val="22"/>
        </w:rPr>
        <w:t>26</w:t>
      </w:r>
      <w:r w:rsidRPr="00772C64">
        <w:rPr>
          <w:rFonts w:ascii="Times New Roman" w:hAnsi="Times New Roman" w:cs="Times New Roman"/>
          <w:szCs w:val="22"/>
        </w:rPr>
        <w:t xml:space="preserve">» </w:t>
      </w:r>
      <w:r w:rsidR="009A5E48">
        <w:rPr>
          <w:rFonts w:ascii="Times New Roman" w:hAnsi="Times New Roman" w:cs="Times New Roman"/>
          <w:szCs w:val="22"/>
        </w:rPr>
        <w:t>декабря</w:t>
      </w:r>
      <w:r w:rsidRPr="00772C64">
        <w:rPr>
          <w:rFonts w:ascii="Times New Roman" w:hAnsi="Times New Roman" w:cs="Times New Roman"/>
          <w:szCs w:val="22"/>
        </w:rPr>
        <w:t xml:space="preserve"> 2016   года  № </w:t>
      </w:r>
      <w:r w:rsidR="009A5E48">
        <w:rPr>
          <w:rFonts w:ascii="Times New Roman" w:hAnsi="Times New Roman" w:cs="Times New Roman"/>
          <w:szCs w:val="22"/>
        </w:rPr>
        <w:t>35</w:t>
      </w:r>
      <w:r w:rsidRPr="00772C64">
        <w:rPr>
          <w:rFonts w:ascii="Times New Roman" w:hAnsi="Times New Roman" w:cs="Times New Roman"/>
          <w:szCs w:val="22"/>
        </w:rPr>
        <w:t xml:space="preserve"> </w:t>
      </w:r>
    </w:p>
    <w:p w:rsidR="009A5E48" w:rsidRDefault="009A5E48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48" w:rsidRDefault="009A5E48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b/>
          <w:sz w:val="28"/>
          <w:szCs w:val="28"/>
        </w:rPr>
        <w:t>взаимодейс</w:t>
      </w:r>
      <w:r w:rsidR="00675264" w:rsidRPr="00772C64">
        <w:rPr>
          <w:rFonts w:ascii="Times New Roman" w:hAnsi="Times New Roman" w:cs="Times New Roman"/>
          <w:b/>
          <w:sz w:val="28"/>
          <w:szCs w:val="28"/>
        </w:rPr>
        <w:t>твия при осуществлении контроля сельского поселения Уршакский сельсовет муниципального района</w:t>
      </w:r>
      <w:r w:rsidRPr="00772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B7" w:rsidRPr="00772C64">
        <w:rPr>
          <w:rFonts w:ascii="Times New Roman" w:hAnsi="Times New Roman" w:cs="Times New Roman"/>
          <w:b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</w:t>
      </w:r>
      <w:r w:rsidR="00675264" w:rsidRPr="00772C64">
        <w:rPr>
          <w:rFonts w:ascii="Times New Roman" w:hAnsi="Times New Roman" w:cs="Times New Roman"/>
          <w:b/>
          <w:sz w:val="28"/>
          <w:szCs w:val="28"/>
        </w:rPr>
        <w:t xml:space="preserve"> статьи 99 Федерального закона </w:t>
      </w:r>
      <w:r w:rsidRPr="00772C64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27DB" w:rsidRPr="00772C64" w:rsidRDefault="009127DB" w:rsidP="0091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 при осуществлени</w:t>
      </w:r>
      <w:r w:rsidR="00675264" w:rsidRPr="00772C64">
        <w:rPr>
          <w:rFonts w:ascii="Times New Roman" w:hAnsi="Times New Roman" w:cs="Times New Roman"/>
          <w:sz w:val="28"/>
          <w:szCs w:val="28"/>
        </w:rPr>
        <w:t>и</w:t>
      </w:r>
      <w:r w:rsidRPr="00772C6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№ 1367 (далее – субъекты контроля, Правила контроля).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675264" w:rsidRPr="00772C64">
        <w:rPr>
          <w:rFonts w:ascii="Times New Roman" w:hAnsi="Times New Roman" w:cs="Times New Roman"/>
          <w:sz w:val="28"/>
          <w:szCs w:val="28"/>
        </w:rPr>
        <w:t>сельское поселение Уршакский сельсовет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(далее  соответственно - контроль, объекты контроля, Федеральный закон).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закупок,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2C64">
        <w:rPr>
          <w:rFonts w:ascii="Times New Roman" w:hAnsi="Times New Roman" w:cs="Times New Roman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на бумажном носителе в трех экземплярах.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127DB" w:rsidRPr="00772C64" w:rsidRDefault="00675264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="009127DB" w:rsidRPr="00772C64">
        <w:rPr>
          <w:rFonts w:ascii="Times New Roman" w:hAnsi="Times New Roman" w:cs="Times New Roman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="009127DB" w:rsidRPr="00772C64">
        <w:rPr>
          <w:rFonts w:ascii="Times New Roman" w:hAnsi="Times New Roman" w:cs="Times New Roman"/>
          <w:sz w:val="28"/>
          <w:szCs w:val="28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8. При осуществлении взаимодействия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сельсовет </w:t>
      </w:r>
      <w:r w:rsidR="00772C64">
        <w:rPr>
          <w:rFonts w:ascii="Times New Roman" w:hAnsi="Times New Roman" w:cs="Times New Roman"/>
          <w:sz w:val="28"/>
          <w:szCs w:val="28"/>
        </w:rPr>
        <w:t>з</w:t>
      </w:r>
      <w:r w:rsidRPr="00772C64">
        <w:rPr>
          <w:rFonts w:ascii="Times New Roman" w:hAnsi="Times New Roman" w:cs="Times New Roman"/>
          <w:sz w:val="28"/>
          <w:szCs w:val="28"/>
        </w:rPr>
        <w:t xml:space="preserve">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675264" w:rsidRPr="00772C64">
        <w:rPr>
          <w:rFonts w:ascii="Times New Roman" w:hAnsi="Times New Roman" w:cs="Times New Roman"/>
          <w:sz w:val="28"/>
          <w:szCs w:val="28"/>
        </w:rPr>
        <w:t>сельское поселение Уршакский сельсовет</w:t>
      </w:r>
      <w:r w:rsid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При осуществлении взаимодействия с субъектами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</w:t>
      </w:r>
      <w:r w:rsidR="00CE2571" w:rsidRPr="00772C64">
        <w:rPr>
          <w:rFonts w:ascii="Times New Roman" w:hAnsi="Times New Roman" w:cs="Times New Roman"/>
          <w:sz w:val="28"/>
          <w:szCs w:val="28"/>
        </w:rPr>
        <w:t>18.02.2014</w:t>
      </w:r>
      <w:r w:rsidRPr="00772C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2571" w:rsidRPr="00772C64">
        <w:rPr>
          <w:rFonts w:ascii="Times New Roman" w:hAnsi="Times New Roman" w:cs="Times New Roman"/>
          <w:sz w:val="28"/>
          <w:szCs w:val="28"/>
        </w:rPr>
        <w:t>160</w:t>
      </w:r>
      <w:r w:rsidRPr="00772C64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обязательств), на учет бюджетных обязательств;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793A59" w:rsidRPr="00772C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 w:rsidRPr="00772C6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72C64">
        <w:rPr>
          <w:rFonts w:ascii="Times New Roman" w:hAnsi="Times New Roman" w:cs="Times New Roman"/>
          <w:sz w:val="28"/>
          <w:szCs w:val="28"/>
        </w:rPr>
        <w:t xml:space="preserve">  по форме согласно приложению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№ 6 к настоящему Порядку, в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включения в план закупок информации о закупках, оплата которых планируется по истечении планового периода;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772C64">
        <w:rPr>
          <w:rFonts w:ascii="Times New Roman" w:hAnsi="Times New Roman" w:cs="Times New Roman"/>
          <w:sz w:val="28"/>
          <w:szCs w:val="28"/>
        </w:rPr>
        <w:br/>
        <w:t xml:space="preserve">на предмет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года № 81н (далее – план ФХД);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 w:rsidRPr="00772C6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72C64">
        <w:rPr>
          <w:rFonts w:ascii="Times New Roman" w:hAnsi="Times New Roman" w:cs="Times New Roman"/>
          <w:sz w:val="28"/>
          <w:szCs w:val="28"/>
        </w:rPr>
        <w:t>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="00CF180F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772C64">
        <w:rPr>
          <w:rFonts w:ascii="Times New Roman" w:hAnsi="Times New Roman" w:cs="Times New Roman"/>
          <w:sz w:val="28"/>
          <w:szCs w:val="28"/>
        </w:rPr>
        <w:t>Аургазинский</w:t>
      </w:r>
      <w:r w:rsidRPr="00772C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 </w:t>
      </w:r>
      <w:r w:rsidRPr="00772C6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675264" w:rsidRPr="00772C64">
        <w:rPr>
          <w:rFonts w:ascii="Times New Roman" w:hAnsi="Times New Roman" w:cs="Times New Roman"/>
          <w:sz w:val="28"/>
          <w:szCs w:val="28"/>
        </w:rPr>
        <w:t>сельским поселением Уршакский сельсовет</w:t>
      </w:r>
      <w:r w:rsidRPr="00772C64">
        <w:rPr>
          <w:rFonts w:ascii="Times New Roman" w:hAnsi="Times New Roman" w:cs="Times New Roman"/>
          <w:sz w:val="28"/>
          <w:szCs w:val="28"/>
        </w:rPr>
        <w:t>, лимитов бюджетных обязательств, доведенных на принятие и (или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) исполнение бюджетных обязательств, возникающих в связи с закупкой товаров, работ, услуг;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11. При осуществлении взаимодействия с субъектами контроля </w:t>
      </w:r>
      <w:r w:rsidR="00ED2EE0" w:rsidRPr="00772C6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772C64">
        <w:rPr>
          <w:rFonts w:ascii="Times New Roman" w:hAnsi="Times New Roman" w:cs="Times New Roman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плане-графике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плане-графике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12. Указанные в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11 настоящего Порядка объекты контроля проверяются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при размещении в ЕИС, а закрытые объекты контроля (сведения о закрытых объектах контроля) - при согласовании их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</w:t>
      </w:r>
      <w:r w:rsidR="00772C64">
        <w:rPr>
          <w:rFonts w:ascii="Times New Roman" w:hAnsi="Times New Roman" w:cs="Times New Roman"/>
          <w:sz w:val="28"/>
          <w:szCs w:val="28"/>
        </w:rPr>
        <w:t>сельсовет</w:t>
      </w:r>
      <w:r w:rsidRPr="00772C64">
        <w:rPr>
          <w:rFonts w:ascii="Times New Roman" w:hAnsi="Times New Roman" w:cs="Times New Roman"/>
          <w:sz w:val="28"/>
          <w:szCs w:val="28"/>
        </w:rPr>
        <w:t>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675264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в плане-графике закупок  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б) объекты контроля по закупкам, указываемым в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плане-графике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закупок отдельной строкой в установленных случаях проверяются на </w:t>
      </w: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C6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772C64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504AB5" w:rsidRPr="00772C64">
        <w:rPr>
          <w:rFonts w:ascii="Times New Roman" w:hAnsi="Times New Roman" w:cs="Times New Roman"/>
          <w:sz w:val="28"/>
          <w:szCs w:val="28"/>
        </w:rPr>
        <w:t>сельское поселение Уршакский сельсовет</w:t>
      </w:r>
      <w:r w:rsidRPr="00772C64">
        <w:rPr>
          <w:rFonts w:ascii="Times New Roman" w:hAnsi="Times New Roman" w:cs="Times New Roman"/>
          <w:sz w:val="28"/>
          <w:szCs w:val="28"/>
        </w:rPr>
        <w:t>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контроля и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сельским поселением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7B2A33" w:rsidRPr="00772C64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772C64">
        <w:rPr>
          <w:rFonts w:ascii="Times New Roman" w:hAnsi="Times New Roman" w:cs="Times New Roman"/>
          <w:sz w:val="28"/>
          <w:szCs w:val="28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частью 5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772C64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504AB5" w:rsidRPr="00772C64">
        <w:rPr>
          <w:rFonts w:ascii="Times New Roman" w:hAnsi="Times New Roman" w:cs="Times New Roman"/>
          <w:sz w:val="28"/>
          <w:szCs w:val="28"/>
        </w:rPr>
        <w:t xml:space="preserve">сельское поселение Уршакский сельсовет </w:t>
      </w:r>
      <w:r w:rsidRPr="00772C64">
        <w:rPr>
          <w:rFonts w:ascii="Times New Roman" w:hAnsi="Times New Roman" w:cs="Times New Roman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 w:rsidRPr="00772C64">
        <w:rPr>
          <w:rFonts w:ascii="Times New Roman" w:hAnsi="Times New Roman" w:cs="Times New Roman"/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9127DB" w:rsidRPr="00772C64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64"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1EC1" w:rsidRPr="00772C64" w:rsidRDefault="009127DB">
      <w:r w:rsidRPr="00772C64">
        <w:rPr>
          <w:szCs w:val="28"/>
        </w:rPr>
        <w:t xml:space="preserve">15. </w:t>
      </w:r>
      <w:proofErr w:type="gramStart"/>
      <w:r w:rsidRPr="00772C64">
        <w:rPr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504AB5" w:rsidRPr="00772C64">
        <w:rPr>
          <w:szCs w:val="28"/>
        </w:rPr>
        <w:t xml:space="preserve">сельским поселением Уршакский сельсовет </w:t>
      </w:r>
      <w:r w:rsidRPr="00772C64">
        <w:rPr>
          <w:szCs w:val="28"/>
        </w:rPr>
        <w:t>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</w:t>
      </w:r>
      <w:proofErr w:type="gramEnd"/>
      <w:r w:rsidRPr="00772C64">
        <w:rPr>
          <w:szCs w:val="28"/>
        </w:rPr>
        <w:t xml:space="preserve">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772C64">
        <w:rPr>
          <w:szCs w:val="28"/>
          <w:lang w:val="en-US"/>
        </w:rPr>
        <w:t>rics</w:t>
      </w:r>
      <w:proofErr w:type="spellEnd"/>
      <w:r w:rsidRPr="00772C64">
        <w:rPr>
          <w:szCs w:val="28"/>
        </w:rPr>
        <w:t>.</w:t>
      </w:r>
      <w:proofErr w:type="spellStart"/>
      <w:r w:rsidRPr="00772C64">
        <w:rPr>
          <w:szCs w:val="28"/>
          <w:lang w:val="en-US"/>
        </w:rPr>
        <w:t>bashkortostan</w:t>
      </w:r>
      <w:proofErr w:type="spellEnd"/>
      <w:r w:rsidRPr="00772C64">
        <w:rPr>
          <w:szCs w:val="28"/>
        </w:rPr>
        <w:t>.</w:t>
      </w:r>
      <w:proofErr w:type="spellStart"/>
      <w:r w:rsidRPr="00772C64">
        <w:rPr>
          <w:szCs w:val="28"/>
        </w:rPr>
        <w:t>ru</w:t>
      </w:r>
      <w:proofErr w:type="spellEnd"/>
      <w:r w:rsidRPr="00772C64">
        <w:rPr>
          <w:szCs w:val="28"/>
        </w:rPr>
        <w:t>.</w:t>
      </w:r>
      <w:bookmarkStart w:id="1" w:name="_GoBack"/>
      <w:bookmarkEnd w:id="1"/>
    </w:p>
    <w:sectPr w:rsidR="00991EC1" w:rsidRPr="0077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187FB7"/>
    <w:rsid w:val="00412916"/>
    <w:rsid w:val="00504AB5"/>
    <w:rsid w:val="00670466"/>
    <w:rsid w:val="00675264"/>
    <w:rsid w:val="00772C64"/>
    <w:rsid w:val="00793A59"/>
    <w:rsid w:val="007B2A33"/>
    <w:rsid w:val="007F1BA8"/>
    <w:rsid w:val="009127DB"/>
    <w:rsid w:val="00991EC1"/>
    <w:rsid w:val="009A5E48"/>
    <w:rsid w:val="00CE2571"/>
    <w:rsid w:val="00CF180F"/>
    <w:rsid w:val="00D9412F"/>
    <w:rsid w:val="00EB720D"/>
    <w:rsid w:val="00E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04AB5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Title">
    <w:name w:val="ConsPlusTitle"/>
    <w:uiPriority w:val="99"/>
    <w:rsid w:val="00504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9A5E48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A5E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04AB5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Title">
    <w:name w:val="ConsPlusTitle"/>
    <w:uiPriority w:val="99"/>
    <w:rsid w:val="00504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9A5E48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A5E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083C-C66D-4168-B03B-8D23C366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6</cp:revision>
  <cp:lastPrinted>2016-12-26T06:26:00Z</cp:lastPrinted>
  <dcterms:created xsi:type="dcterms:W3CDTF">2016-12-23T10:09:00Z</dcterms:created>
  <dcterms:modified xsi:type="dcterms:W3CDTF">2016-12-26T06:26:00Z</dcterms:modified>
</cp:coreProperties>
</file>